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72" w:rsidRDefault="00A67A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6"/>
          <w:szCs w:val="26"/>
          <w:lang w:eastAsia="en-GB"/>
        </w:rPr>
        <w:drawing>
          <wp:inline distT="0" distB="0" distL="0" distR="0">
            <wp:extent cx="1349899" cy="863600"/>
            <wp:effectExtent l="0" t="0" r="3175" b="0"/>
            <wp:docPr id="1026" name="Picture 1" descr="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49899" cy="863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72" w:rsidRDefault="00A67A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FEDERAL INLAND REVENUE SERVICE</w:t>
      </w:r>
    </w:p>
    <w:p w:rsidR="00632872" w:rsidRDefault="00A67A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 SOKODE CRESCENT, WUSE ZONE 5, P.M.B 33, GARKI, ABUJA, NIGERIA</w:t>
      </w:r>
    </w:p>
    <w:p w:rsidR="00632872" w:rsidRDefault="00632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2872" w:rsidRDefault="00A67AC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PUBLIC NOTICE </w:t>
      </w:r>
    </w:p>
    <w:p w:rsidR="00632872" w:rsidRDefault="00A67AC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SENSITISATION OF FINANCIAL INSTITUTIONS ON COMPLIANCE WITH COMMON REPORTING STANDARD IN NIGERIA  </w:t>
      </w:r>
    </w:p>
    <w:p w:rsidR="00632872" w:rsidRDefault="0063287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32872" w:rsidRDefault="00A67ACA">
      <w:pPr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Nigeria will start to exchange financial accounts information with treaty partners beginning from 2020.  Relevant legislations had been enacted, installation</w:t>
      </w:r>
      <w:r>
        <w:rPr>
          <w:rFonts w:ascii="Verdana" w:hAnsi="Verdana" w:cs="Tahoma"/>
          <w:sz w:val="24"/>
          <w:szCs w:val="24"/>
        </w:rPr>
        <w:t xml:space="preserve"> of required ICT infrastructure is nearing completion and the reporting financial institutions are expected to file their first reports by 30</w:t>
      </w:r>
      <w:r>
        <w:rPr>
          <w:rFonts w:ascii="Verdana" w:hAnsi="Verdana" w:cs="Tahoma"/>
          <w:sz w:val="24"/>
          <w:szCs w:val="24"/>
          <w:vertAlign w:val="superscript"/>
        </w:rPr>
        <w:t>th</w:t>
      </w:r>
      <w:r>
        <w:rPr>
          <w:rFonts w:ascii="Verdana" w:hAnsi="Verdana" w:cs="Tahoma"/>
          <w:sz w:val="24"/>
          <w:szCs w:val="24"/>
        </w:rPr>
        <w:t xml:space="preserve"> September 2020. </w:t>
      </w:r>
    </w:p>
    <w:p w:rsidR="00632872" w:rsidRDefault="006328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2872" w:rsidRDefault="00A67ACA">
      <w:pPr>
        <w:spacing w:after="0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Consequently, the Service has scheduled a series of web-based events to engage with reporting </w:t>
      </w:r>
      <w:r>
        <w:rPr>
          <w:rFonts w:ascii="Verdana" w:hAnsi="Verdana" w:cs="Tahoma"/>
          <w:sz w:val="24"/>
          <w:szCs w:val="24"/>
        </w:rPr>
        <w:t>entities (money deposit banks, asset management companies, life assurance companies, securities trading firms, etc.) and their tax advisers with a view to educating them on AEOI legal provisions, reporting process and use of the CRS infrastructure. The eve</w:t>
      </w:r>
      <w:r>
        <w:rPr>
          <w:rFonts w:ascii="Verdana" w:hAnsi="Verdana" w:cs="Tahoma"/>
          <w:sz w:val="24"/>
          <w:szCs w:val="24"/>
        </w:rPr>
        <w:t>nt will hold as follows:</w:t>
      </w:r>
    </w:p>
    <w:p w:rsidR="00632872" w:rsidRDefault="00632872">
      <w:pPr>
        <w:spacing w:after="0"/>
        <w:jc w:val="both"/>
        <w:rPr>
          <w:rFonts w:ascii="Verdana" w:hAnsi="Verdana" w:cs="Tahoma"/>
          <w:sz w:val="24"/>
          <w:szCs w:val="24"/>
        </w:rPr>
      </w:pPr>
    </w:p>
    <w:p w:rsidR="00632872" w:rsidRDefault="00A67AC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Day 1</w:t>
      </w:r>
      <w:r>
        <w:rPr>
          <w:rFonts w:ascii="Times New Roman" w:hAnsi="Times New Roman"/>
          <w:sz w:val="26"/>
          <w:szCs w:val="26"/>
        </w:rPr>
        <w:t xml:space="preserve"> (Tuesday 4</w:t>
      </w:r>
      <w:r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August 2020)</w:t>
      </w:r>
    </w:p>
    <w:p w:rsidR="00632872" w:rsidRDefault="00A67AC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Opening Session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10:00am – 11:00am</w:t>
      </w:r>
    </w:p>
    <w:p w:rsidR="00632872" w:rsidRDefault="00A67AC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Technical Session 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11:00 – 1:00pm</w:t>
      </w:r>
    </w:p>
    <w:p w:rsidR="00632872" w:rsidRDefault="00632872">
      <w:pPr>
        <w:pStyle w:val="ListParagraph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632872" w:rsidRDefault="00A67AC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Day 2</w:t>
      </w:r>
      <w:r>
        <w:rPr>
          <w:rFonts w:ascii="Times New Roman" w:hAnsi="Times New Roman"/>
          <w:sz w:val="26"/>
          <w:szCs w:val="26"/>
        </w:rPr>
        <w:t xml:space="preserve"> (Wednesday 5</w:t>
      </w:r>
      <w:r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August 2020)</w:t>
      </w:r>
    </w:p>
    <w:p w:rsidR="00632872" w:rsidRDefault="00A67AC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Technical Session 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10:00am – 1:00pm</w:t>
      </w:r>
    </w:p>
    <w:p w:rsidR="00632872" w:rsidRDefault="006328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2872" w:rsidRDefault="00A67A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Attendance:</w:t>
      </w:r>
    </w:p>
    <w:p w:rsidR="00632872" w:rsidRDefault="006328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2872" w:rsidRDefault="00A67ACA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Opening Session: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32872" w:rsidRDefault="00A67ACA">
      <w:pPr>
        <w:pStyle w:val="ListParagraph"/>
        <w:numPr>
          <w:ilvl w:val="0"/>
          <w:numId w:val="4"/>
        </w:numPr>
        <w:spacing w:after="0"/>
        <w:ind w:left="1560" w:hanging="57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</w:t>
      </w:r>
      <w:r>
        <w:rPr>
          <w:rFonts w:ascii="Times New Roman" w:hAnsi="Times New Roman"/>
          <w:sz w:val="26"/>
          <w:szCs w:val="26"/>
        </w:rPr>
        <w:t>gulatory authorities (Governor of CBN, DG of SEC, Commissioner of NAICOM and Director, NFIU)</w:t>
      </w:r>
    </w:p>
    <w:p w:rsidR="00632872" w:rsidRDefault="00A67ACA">
      <w:pPr>
        <w:pStyle w:val="ListParagraph"/>
        <w:numPr>
          <w:ilvl w:val="0"/>
          <w:numId w:val="4"/>
        </w:numPr>
        <w:spacing w:after="0"/>
        <w:ind w:left="1560" w:hanging="57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Chief Executive of Financial Institutions</w:t>
      </w:r>
    </w:p>
    <w:p w:rsidR="00632872" w:rsidRDefault="00A67ACA">
      <w:pPr>
        <w:pStyle w:val="ListParagraph"/>
        <w:numPr>
          <w:ilvl w:val="0"/>
          <w:numId w:val="4"/>
        </w:numPr>
        <w:spacing w:after="0"/>
        <w:ind w:left="1560" w:hanging="57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Relevant compliance officer of financial institutions (2 officers only)</w:t>
      </w:r>
    </w:p>
    <w:p w:rsidR="00632872" w:rsidRDefault="00A67ACA">
      <w:pPr>
        <w:pStyle w:val="ListParagraph"/>
        <w:numPr>
          <w:ilvl w:val="0"/>
          <w:numId w:val="4"/>
        </w:numPr>
        <w:spacing w:after="0"/>
        <w:ind w:left="1560" w:hanging="57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Relevant Tax Practitioners (2 officers only)</w:t>
      </w:r>
    </w:p>
    <w:p w:rsidR="00632872" w:rsidRDefault="00A67ACA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Tech</w:t>
      </w:r>
      <w:r>
        <w:rPr>
          <w:rFonts w:ascii="Times New Roman" w:hAnsi="Times New Roman"/>
          <w:b/>
          <w:sz w:val="26"/>
          <w:szCs w:val="26"/>
        </w:rPr>
        <w:t>nical Sessions:</w:t>
      </w:r>
    </w:p>
    <w:p w:rsidR="00632872" w:rsidRDefault="00A67ACA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Relevant compliance officer of financial institutions (2 officers only)</w:t>
      </w:r>
    </w:p>
    <w:p w:rsidR="00632872" w:rsidRDefault="00A67ACA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Relevant Tax Practitioners (2 officers only)</w:t>
      </w:r>
    </w:p>
    <w:p w:rsidR="00632872" w:rsidRDefault="00632872">
      <w:pPr>
        <w:pStyle w:val="ListParagraph"/>
        <w:spacing w:after="0"/>
        <w:ind w:left="1800"/>
        <w:jc w:val="both"/>
        <w:rPr>
          <w:rFonts w:ascii="Times New Roman" w:hAnsi="Times New Roman"/>
          <w:sz w:val="26"/>
          <w:szCs w:val="26"/>
        </w:rPr>
      </w:pPr>
    </w:p>
    <w:p w:rsidR="00632872" w:rsidRDefault="00A67A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Participating organisations are required to forward the list of </w:t>
      </w:r>
      <w:r>
        <w:rPr>
          <w:rFonts w:hAnsi="Times New Roman"/>
          <w:sz w:val="26"/>
          <w:szCs w:val="26"/>
          <w:lang w:val="en-US"/>
        </w:rPr>
        <w:t xml:space="preserve">their </w:t>
      </w:r>
      <w:r>
        <w:rPr>
          <w:rFonts w:ascii="Times New Roman" w:hAnsi="Times New Roman"/>
          <w:sz w:val="26"/>
          <w:szCs w:val="26"/>
        </w:rPr>
        <w:t xml:space="preserve">participants to </w:t>
      </w:r>
      <w:hyperlink r:id="rId8" w:history="1">
        <w:r>
          <w:rPr>
            <w:rStyle w:val="Hyperlink"/>
            <w:rFonts w:ascii="Times New Roman" w:hAnsi="Times New Roman"/>
            <w:sz w:val="26"/>
            <w:szCs w:val="26"/>
          </w:rPr>
          <w:t>aeoi.seminar@firs.gov.ng</w:t>
        </w:r>
      </w:hyperlink>
      <w:r>
        <w:rPr>
          <w:rFonts w:ascii="Times New Roman" w:hAnsi="Times New Roman"/>
          <w:sz w:val="26"/>
          <w:szCs w:val="26"/>
        </w:rPr>
        <w:t>, in the following format:</w:t>
      </w:r>
    </w:p>
    <w:p w:rsidR="00632872" w:rsidRDefault="006328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2872" w:rsidRDefault="00A67AC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ORGANISATION NAME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2410"/>
        <w:gridCol w:w="1984"/>
      </w:tblGrid>
      <w:tr w:rsidR="00632872">
        <w:tc>
          <w:tcPr>
            <w:tcW w:w="704" w:type="dxa"/>
          </w:tcPr>
          <w:p w:rsidR="00632872" w:rsidRDefault="00A67AC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S/N</w:t>
            </w:r>
          </w:p>
        </w:tc>
        <w:tc>
          <w:tcPr>
            <w:tcW w:w="2552" w:type="dxa"/>
          </w:tcPr>
          <w:p w:rsidR="00632872" w:rsidRDefault="00A67AC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Participant Name</w:t>
            </w:r>
          </w:p>
        </w:tc>
        <w:tc>
          <w:tcPr>
            <w:tcW w:w="1701" w:type="dxa"/>
          </w:tcPr>
          <w:p w:rsidR="00632872" w:rsidRDefault="00A67AC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2410" w:type="dxa"/>
          </w:tcPr>
          <w:p w:rsidR="00632872" w:rsidRDefault="00A67AC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Corporate E-mail</w:t>
            </w:r>
          </w:p>
        </w:tc>
        <w:tc>
          <w:tcPr>
            <w:tcW w:w="1984" w:type="dxa"/>
          </w:tcPr>
          <w:p w:rsidR="00632872" w:rsidRDefault="00A67AC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one Number</w:t>
            </w:r>
          </w:p>
        </w:tc>
      </w:tr>
      <w:tr w:rsidR="00632872">
        <w:tc>
          <w:tcPr>
            <w:tcW w:w="704" w:type="dxa"/>
          </w:tcPr>
          <w:p w:rsidR="00632872" w:rsidRDefault="00A67A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32872" w:rsidRDefault="006328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2872" w:rsidRDefault="006328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32872" w:rsidRDefault="006328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32872" w:rsidRDefault="006328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872">
        <w:tc>
          <w:tcPr>
            <w:tcW w:w="704" w:type="dxa"/>
          </w:tcPr>
          <w:p w:rsidR="00632872" w:rsidRDefault="00A67A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632872" w:rsidRDefault="006328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2872" w:rsidRDefault="006328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32872" w:rsidRDefault="006328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32872" w:rsidRDefault="006328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872">
        <w:tc>
          <w:tcPr>
            <w:tcW w:w="704" w:type="dxa"/>
          </w:tcPr>
          <w:p w:rsidR="00632872" w:rsidRDefault="00A67A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632872" w:rsidRDefault="006328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2872" w:rsidRDefault="006328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32872" w:rsidRDefault="006328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32872" w:rsidRDefault="0063287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2872" w:rsidRDefault="006328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2872" w:rsidRDefault="00A67ACA">
      <w:pPr>
        <w:pStyle w:val="ListParagraph"/>
        <w:tabs>
          <w:tab w:val="left" w:pos="548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further details, please contact: </w:t>
      </w:r>
      <w:hyperlink r:id="rId9" w:history="1">
        <w:r>
          <w:rPr>
            <w:rStyle w:val="Hyperlink"/>
            <w:rFonts w:ascii="Times New Roman" w:hAnsi="Times New Roman"/>
            <w:sz w:val="26"/>
            <w:szCs w:val="26"/>
          </w:rPr>
          <w:t>femi.edgal@firs.gov.ng or aeoi.seminar@firs.gov.ng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632872" w:rsidRDefault="00632872">
      <w:pPr>
        <w:pStyle w:val="ListParagraph"/>
        <w:tabs>
          <w:tab w:val="left" w:pos="548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2872" w:rsidRDefault="00632872">
      <w:pPr>
        <w:pStyle w:val="ListParagraph"/>
        <w:tabs>
          <w:tab w:val="left" w:pos="548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632872" w:rsidRDefault="00A67ACA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Signed</w:t>
      </w:r>
    </w:p>
    <w:p w:rsidR="00632872" w:rsidRDefault="00A67ACA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Muhammed Nami</w:t>
      </w:r>
    </w:p>
    <w:p w:rsidR="00632872" w:rsidRDefault="00A67ACA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Executive Chairman</w:t>
      </w:r>
    </w:p>
    <w:p w:rsidR="00632872" w:rsidRDefault="00632872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32872" w:rsidRDefault="00632872">
      <w:pPr>
        <w:rPr>
          <w:rFonts w:ascii="Times New Roman" w:hAnsi="Times New Roman"/>
          <w:sz w:val="26"/>
          <w:szCs w:val="26"/>
        </w:rPr>
      </w:pPr>
    </w:p>
    <w:sectPr w:rsidR="00632872">
      <w:footerReference w:type="default" r:id="rId10"/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ACA" w:rsidRDefault="00A67ACA">
      <w:pPr>
        <w:spacing w:after="0" w:line="240" w:lineRule="auto"/>
      </w:pPr>
      <w:r>
        <w:separator/>
      </w:r>
    </w:p>
  </w:endnote>
  <w:endnote w:type="continuationSeparator" w:id="0">
    <w:p w:rsidR="00A67ACA" w:rsidRDefault="00A6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72" w:rsidRDefault="00632872">
    <w:pPr>
      <w:pStyle w:val="Footer"/>
      <w:pBdr>
        <w:top w:val="thinThickSmallGap" w:sz="24" w:space="1" w:color="622423"/>
      </w:pBdr>
      <w:tabs>
        <w:tab w:val="clear" w:pos="4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ACA" w:rsidRDefault="00A67ACA">
      <w:pPr>
        <w:spacing w:after="0" w:line="240" w:lineRule="auto"/>
      </w:pPr>
      <w:r>
        <w:separator/>
      </w:r>
    </w:p>
  </w:footnote>
  <w:footnote w:type="continuationSeparator" w:id="0">
    <w:p w:rsidR="00A67ACA" w:rsidRDefault="00A6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F4DA06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9E8C0200"/>
    <w:lvl w:ilvl="0" w:tplc="0C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F034F8">
      <w:start w:val="2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0000002"/>
    <w:multiLevelType w:val="hybridMultilevel"/>
    <w:tmpl w:val="2A464064"/>
    <w:lvl w:ilvl="0" w:tplc="00C625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4D6A5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A6885F18"/>
    <w:lvl w:ilvl="0" w:tplc="A2869B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5"/>
    <w:multiLevelType w:val="hybridMultilevel"/>
    <w:tmpl w:val="82F6A69A"/>
    <w:lvl w:ilvl="0" w:tplc="DC44D256">
      <w:start w:val="1"/>
      <w:numFmt w:val="decimal"/>
      <w:lvlText w:val="(%1)"/>
      <w:lvlJc w:val="left"/>
      <w:pPr>
        <w:ind w:left="720" w:hanging="360"/>
      </w:pPr>
      <w:rPr>
        <w:rFonts w:ascii="Verdana" w:eastAsia="Calibri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133A034A"/>
    <w:lvl w:ilvl="0" w:tplc="7E5AB97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7"/>
    <w:multiLevelType w:val="hybridMultilevel"/>
    <w:tmpl w:val="461CEDBE"/>
    <w:lvl w:ilvl="0" w:tplc="76F034F8">
      <w:start w:val="2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72"/>
    <w:rsid w:val="00632872"/>
    <w:rsid w:val="00A67ACA"/>
    <w:rsid w:val="00E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D1FFB-45CB-4613-9EB9-F0EC81B4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eastAsia="Calibri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oi.seminar@firs.gov.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mi.edgal@firs.gov.ng%20or%20aeoi.seminar@firs.gov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Eze</dc:creator>
  <cp:lastModifiedBy>Administrator</cp:lastModifiedBy>
  <cp:revision>2</cp:revision>
  <dcterms:created xsi:type="dcterms:W3CDTF">2020-08-04T09:57:00Z</dcterms:created>
  <dcterms:modified xsi:type="dcterms:W3CDTF">2020-08-04T09:57:00Z</dcterms:modified>
</cp:coreProperties>
</file>